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125F" w14:textId="77777777" w:rsidR="00C82CBE" w:rsidRPr="00C82CBE" w:rsidRDefault="00C82CBE" w:rsidP="00C82CBE">
      <w:pPr>
        <w:jc w:val="center"/>
        <w:rPr>
          <w:rFonts w:ascii="Verdana" w:hAnsi="Verdana" w:cs="Calibri"/>
          <w:b/>
          <w:bCs/>
          <w:sz w:val="28"/>
          <w:szCs w:val="28"/>
        </w:rPr>
      </w:pPr>
      <w:r w:rsidRPr="00C82CBE">
        <w:rPr>
          <w:rFonts w:ascii="Verdana" w:hAnsi="Verdana" w:cs="Calibri"/>
          <w:b/>
          <w:bCs/>
          <w:sz w:val="28"/>
          <w:szCs w:val="28"/>
        </w:rPr>
        <w:t>Refund Policy</w:t>
      </w:r>
    </w:p>
    <w:p w14:paraId="37BEBAF3" w14:textId="77777777" w:rsidR="00C82CBE" w:rsidRPr="00C82CBE" w:rsidRDefault="00C82CBE" w:rsidP="00C82CBE">
      <w:pPr>
        <w:jc w:val="center"/>
        <w:rPr>
          <w:rFonts w:ascii="Verdana" w:hAnsi="Verdana" w:cs="Calibri"/>
        </w:rPr>
      </w:pPr>
      <w:r w:rsidRPr="00C82CBE">
        <w:rPr>
          <w:rFonts w:ascii="Verdana" w:hAnsi="Verdana" w:cs="Calibri"/>
          <w:b/>
          <w:bCs/>
        </w:rPr>
        <w:t>Win Gov Tenders</w:t>
      </w:r>
    </w:p>
    <w:p w14:paraId="2B16E075" w14:textId="77777777" w:rsidR="00C82CBE" w:rsidRPr="00C82CBE" w:rsidRDefault="00C82CBE" w:rsidP="00C82CBE">
      <w:pPr>
        <w:rPr>
          <w:rFonts w:ascii="Verdana" w:hAnsi="Verdana" w:cs="Calibri"/>
          <w:b/>
          <w:bCs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1. Our Commitment to You</w:t>
      </w:r>
    </w:p>
    <w:p w14:paraId="27ADBCBA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At </w:t>
      </w:r>
      <w:r w:rsidRPr="00C82CBE">
        <w:rPr>
          <w:rFonts w:ascii="Verdana" w:hAnsi="Verdana" w:cs="Calibri"/>
          <w:i/>
          <w:iCs/>
          <w:sz w:val="20"/>
          <w:szCs w:val="20"/>
        </w:rPr>
        <w:t>Win Gov Tenders</w:t>
      </w:r>
      <w:r w:rsidRPr="00C82CBE">
        <w:rPr>
          <w:rFonts w:ascii="Verdana" w:hAnsi="Verdana" w:cs="Calibri"/>
          <w:sz w:val="20"/>
          <w:szCs w:val="20"/>
        </w:rPr>
        <w:t>, we are committed to delivering practical, high-quality advice that helps your business confidently pursue government contract opportunities.</w:t>
      </w:r>
    </w:p>
    <w:p w14:paraId="4F2DE557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Our pricing model is designed to balance </w:t>
      </w:r>
      <w:r w:rsidRPr="00C82CBE">
        <w:rPr>
          <w:rFonts w:ascii="Verdana" w:hAnsi="Verdana" w:cs="Calibri"/>
          <w:b/>
          <w:bCs/>
          <w:sz w:val="20"/>
          <w:szCs w:val="20"/>
        </w:rPr>
        <w:t>fair upfront investment</w:t>
      </w:r>
      <w:r w:rsidRPr="00C82CBE">
        <w:rPr>
          <w:rFonts w:ascii="Verdana" w:hAnsi="Verdana" w:cs="Calibri"/>
          <w:sz w:val="20"/>
          <w:szCs w:val="20"/>
        </w:rPr>
        <w:t xml:space="preserve"> with </w:t>
      </w:r>
      <w:r w:rsidRPr="00C82CBE">
        <w:rPr>
          <w:rFonts w:ascii="Verdana" w:hAnsi="Verdana" w:cs="Calibri"/>
          <w:b/>
          <w:bCs/>
          <w:sz w:val="20"/>
          <w:szCs w:val="20"/>
        </w:rPr>
        <w:t>performance-based outcomes</w:t>
      </w:r>
      <w:r w:rsidRPr="00C82CBE">
        <w:rPr>
          <w:rFonts w:ascii="Verdana" w:hAnsi="Verdana" w:cs="Calibri"/>
          <w:sz w:val="20"/>
          <w:szCs w:val="20"/>
        </w:rPr>
        <w:t>, ensuring both parties are aligned in achieving success.</w:t>
      </w:r>
    </w:p>
    <w:p w14:paraId="2EC4162B" w14:textId="77777777" w:rsidR="00C82CBE" w:rsidRPr="00C82CBE" w:rsidRDefault="0079109C" w:rsidP="00C82CBE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57531765">
          <v:rect id="_x0000_i1025" style="width:0;height:1.5pt" o:hralign="center" o:hrstd="t" o:hr="t" fillcolor="#a0a0a0" stroked="f"/>
        </w:pict>
      </w:r>
    </w:p>
    <w:p w14:paraId="3393481D" w14:textId="77777777" w:rsidR="00C82CBE" w:rsidRPr="00C82CBE" w:rsidRDefault="00C82CBE" w:rsidP="00C82CBE">
      <w:pPr>
        <w:rPr>
          <w:rFonts w:ascii="Verdana" w:hAnsi="Verdana" w:cs="Calibri"/>
          <w:b/>
          <w:bCs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2. Understanding Our Fees</w:t>
      </w:r>
    </w:p>
    <w:p w14:paraId="344247DE" w14:textId="2FEEF0B7" w:rsidR="00C82CBE" w:rsidRPr="00C82CBE" w:rsidRDefault="00C82CBE" w:rsidP="00C82CBE">
      <w:pPr>
        <w:rPr>
          <w:rFonts w:ascii="Verdana" w:hAnsi="Verdana" w:cs="Calibri"/>
          <w:b/>
          <w:bCs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2.1 Initial Engagement Fee (</w:t>
      </w:r>
      <w:r w:rsidR="00080924">
        <w:rPr>
          <w:rFonts w:ascii="Verdana" w:hAnsi="Verdana" w:cs="Calibri"/>
          <w:b/>
          <w:bCs/>
          <w:sz w:val="20"/>
          <w:szCs w:val="20"/>
        </w:rPr>
        <w:t xml:space="preserve">starting from </w:t>
      </w:r>
      <w:r w:rsidRPr="00C82CBE">
        <w:rPr>
          <w:rFonts w:ascii="Verdana" w:hAnsi="Verdana" w:cs="Calibri"/>
          <w:b/>
          <w:bCs/>
          <w:sz w:val="20"/>
          <w:szCs w:val="20"/>
        </w:rPr>
        <w:t>$4,</w:t>
      </w:r>
      <w:r w:rsidRPr="007574E0">
        <w:rPr>
          <w:rFonts w:ascii="Verdana" w:hAnsi="Verdana" w:cs="Calibri"/>
          <w:b/>
          <w:bCs/>
          <w:sz w:val="20"/>
          <w:szCs w:val="20"/>
        </w:rPr>
        <w:t>5</w:t>
      </w:r>
      <w:r w:rsidR="000B64C9">
        <w:rPr>
          <w:rFonts w:ascii="Verdana" w:hAnsi="Verdana" w:cs="Calibri"/>
          <w:b/>
          <w:bCs/>
          <w:sz w:val="20"/>
          <w:szCs w:val="20"/>
        </w:rPr>
        <w:t>0</w:t>
      </w:r>
      <w:r w:rsidRPr="00C82CBE">
        <w:rPr>
          <w:rFonts w:ascii="Verdana" w:hAnsi="Verdana" w:cs="Calibri"/>
          <w:b/>
          <w:bCs/>
          <w:sz w:val="20"/>
          <w:szCs w:val="20"/>
        </w:rPr>
        <w:t>0 ex-GST)</w:t>
      </w:r>
    </w:p>
    <w:p w14:paraId="6DCBE67D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>This one-off fee is payable before work begins and covers:</w:t>
      </w:r>
    </w:p>
    <w:p w14:paraId="42563741" w14:textId="77777777" w:rsidR="00C82CBE" w:rsidRPr="00C82CBE" w:rsidRDefault="00C82CBE" w:rsidP="00C82CBE">
      <w:pPr>
        <w:numPr>
          <w:ilvl w:val="0"/>
          <w:numId w:val="1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Initial business and capability assessment </w:t>
      </w:r>
    </w:p>
    <w:p w14:paraId="00929D8C" w14:textId="77777777" w:rsidR="00C82CBE" w:rsidRPr="00C82CBE" w:rsidRDefault="00C82CBE" w:rsidP="00C82CBE">
      <w:pPr>
        <w:numPr>
          <w:ilvl w:val="0"/>
          <w:numId w:val="1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Strategic positioning and tender readiness advice </w:t>
      </w:r>
    </w:p>
    <w:p w14:paraId="13B2AAAD" w14:textId="77777777" w:rsidR="00C82CBE" w:rsidRPr="00C82CBE" w:rsidRDefault="00C82CBE" w:rsidP="00C82CBE">
      <w:pPr>
        <w:numPr>
          <w:ilvl w:val="0"/>
          <w:numId w:val="1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Early-stage planning and advisory services </w:t>
      </w:r>
    </w:p>
    <w:p w14:paraId="484A65C5" w14:textId="77777777" w:rsidR="00C82CBE" w:rsidRPr="00C82CBE" w:rsidRDefault="00C82CBE" w:rsidP="00C82CBE">
      <w:pPr>
        <w:numPr>
          <w:ilvl w:val="0"/>
          <w:numId w:val="1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Allocation of dedicated time and expertise </w:t>
      </w:r>
    </w:p>
    <w:p w14:paraId="692F2160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>It also reflects a shared commitment to proceed with a genuine intent to pursue government opportunities.</w:t>
      </w:r>
    </w:p>
    <w:p w14:paraId="50204A1F" w14:textId="77777777" w:rsidR="00C82CBE" w:rsidRPr="00C82CBE" w:rsidRDefault="0079109C" w:rsidP="00C82CBE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29B55B6E">
          <v:rect id="_x0000_i1026" style="width:0;height:1.5pt" o:hralign="center" o:hrstd="t" o:hr="t" fillcolor="#a0a0a0" stroked="f"/>
        </w:pict>
      </w:r>
    </w:p>
    <w:p w14:paraId="01C876D6" w14:textId="77777777" w:rsidR="00C82CBE" w:rsidRPr="00C82CBE" w:rsidRDefault="00C82CBE" w:rsidP="00C82CBE">
      <w:pPr>
        <w:rPr>
          <w:rFonts w:ascii="Verdana" w:hAnsi="Verdana" w:cs="Calibri"/>
          <w:b/>
          <w:bCs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2.2 Success-Based Commission</w:t>
      </w:r>
    </w:p>
    <w:p w14:paraId="02838E9E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Our commission (typically </w:t>
      </w:r>
      <w:r w:rsidRPr="00C82CBE">
        <w:rPr>
          <w:rFonts w:ascii="Verdana" w:hAnsi="Verdana" w:cs="Calibri"/>
          <w:b/>
          <w:bCs/>
          <w:sz w:val="20"/>
          <w:szCs w:val="20"/>
        </w:rPr>
        <w:t>5% of the contract value</w:t>
      </w:r>
      <w:r w:rsidRPr="00C82CBE">
        <w:rPr>
          <w:rFonts w:ascii="Verdana" w:hAnsi="Verdana" w:cs="Calibri"/>
          <w:sz w:val="20"/>
          <w:szCs w:val="20"/>
        </w:rPr>
        <w:t>) is only payable if:</w:t>
      </w:r>
    </w:p>
    <w:p w14:paraId="0C02F096" w14:textId="77777777" w:rsidR="00C82CBE" w:rsidRPr="00C82CBE" w:rsidRDefault="00C82CBE" w:rsidP="00C82CBE">
      <w:pPr>
        <w:numPr>
          <w:ilvl w:val="0"/>
          <w:numId w:val="2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You are successfully awarded a government contract; and </w:t>
      </w:r>
    </w:p>
    <w:p w14:paraId="67D462E8" w14:textId="77777777" w:rsidR="00C82CBE" w:rsidRPr="00C82CBE" w:rsidRDefault="00C82CBE" w:rsidP="00C82CBE">
      <w:pPr>
        <w:numPr>
          <w:ilvl w:val="0"/>
          <w:numId w:val="2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A binding agreement is executed </w:t>
      </w:r>
    </w:p>
    <w:p w14:paraId="59E34E3E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If you do not win, </w:t>
      </w:r>
      <w:r w:rsidRPr="00C82CBE">
        <w:rPr>
          <w:rFonts w:ascii="Verdana" w:hAnsi="Verdana" w:cs="Calibri"/>
          <w:b/>
          <w:bCs/>
          <w:sz w:val="20"/>
          <w:szCs w:val="20"/>
        </w:rPr>
        <w:t>no commission is payable</w:t>
      </w:r>
      <w:r w:rsidRPr="00C82CBE">
        <w:rPr>
          <w:rFonts w:ascii="Verdana" w:hAnsi="Verdana" w:cs="Calibri"/>
          <w:sz w:val="20"/>
          <w:szCs w:val="20"/>
        </w:rPr>
        <w:t>.</w:t>
      </w:r>
    </w:p>
    <w:p w14:paraId="003D80BC" w14:textId="77777777" w:rsidR="00C82CBE" w:rsidRPr="00C82CBE" w:rsidRDefault="0079109C" w:rsidP="00C82CBE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2D81475B">
          <v:rect id="_x0000_i1027" style="width:0;height:1.5pt" o:hralign="center" o:hrstd="t" o:hr="t" fillcolor="#a0a0a0" stroked="f"/>
        </w:pict>
      </w:r>
    </w:p>
    <w:p w14:paraId="52806877" w14:textId="77777777" w:rsidR="00C82CBE" w:rsidRPr="00C82CBE" w:rsidRDefault="00C82CBE" w:rsidP="00C82CBE">
      <w:pPr>
        <w:rPr>
          <w:rFonts w:ascii="Verdana" w:hAnsi="Verdana" w:cs="Calibri"/>
          <w:b/>
          <w:bCs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3. Refunds – Initial Engagement Fee</w:t>
      </w:r>
    </w:p>
    <w:p w14:paraId="2334719A" w14:textId="77777777" w:rsidR="00C82CBE" w:rsidRPr="00C82CBE" w:rsidRDefault="00C82CBE" w:rsidP="00C82CBE">
      <w:pPr>
        <w:rPr>
          <w:rFonts w:ascii="Verdana" w:hAnsi="Verdana" w:cs="Calibri"/>
          <w:b/>
          <w:bCs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3.1 General Position</w:t>
      </w:r>
    </w:p>
    <w:p w14:paraId="2DF6F70A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The Initial Engagement Fee is </w:t>
      </w:r>
      <w:r w:rsidRPr="00C82CBE">
        <w:rPr>
          <w:rFonts w:ascii="Verdana" w:hAnsi="Verdana" w:cs="Calibri"/>
          <w:b/>
          <w:bCs/>
          <w:sz w:val="20"/>
          <w:szCs w:val="20"/>
        </w:rPr>
        <w:t>generally non-refundable</w:t>
      </w:r>
      <w:r w:rsidRPr="00C82CBE">
        <w:rPr>
          <w:rFonts w:ascii="Verdana" w:hAnsi="Verdana" w:cs="Calibri"/>
          <w:sz w:val="20"/>
          <w:szCs w:val="20"/>
        </w:rPr>
        <w:t>, as work begins shortly after engagement and includes the provision of valuable advice, insights, and intellectual property.</w:t>
      </w:r>
    </w:p>
    <w:p w14:paraId="76700928" w14:textId="77777777" w:rsidR="00C82CBE" w:rsidRPr="00C82CBE" w:rsidRDefault="0079109C" w:rsidP="00C82CBE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539B30F8">
          <v:rect id="_x0000_i1028" style="width:0;height:1.5pt" o:hralign="center" o:hrstd="t" o:hr="t" fillcolor="#a0a0a0" stroked="f"/>
        </w:pict>
      </w:r>
    </w:p>
    <w:p w14:paraId="431C2B28" w14:textId="77777777" w:rsidR="00C82CBE" w:rsidRPr="00C82CBE" w:rsidRDefault="00C82CBE" w:rsidP="00C82CBE">
      <w:pPr>
        <w:rPr>
          <w:rFonts w:ascii="Verdana" w:hAnsi="Verdana" w:cs="Calibri"/>
          <w:b/>
          <w:bCs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3.2 Client-Friendly Exceptions</w:t>
      </w:r>
    </w:p>
    <w:p w14:paraId="2AB07F77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We aim to be fair and reasonable. A </w:t>
      </w:r>
      <w:r w:rsidRPr="00C82CBE">
        <w:rPr>
          <w:rFonts w:ascii="Verdana" w:hAnsi="Verdana" w:cs="Calibri"/>
          <w:b/>
          <w:bCs/>
          <w:sz w:val="20"/>
          <w:szCs w:val="20"/>
        </w:rPr>
        <w:t>partial or full refund may be considered</w:t>
      </w:r>
      <w:r w:rsidRPr="00C82CBE">
        <w:rPr>
          <w:rFonts w:ascii="Verdana" w:hAnsi="Verdana" w:cs="Calibri"/>
          <w:sz w:val="20"/>
          <w:szCs w:val="20"/>
        </w:rPr>
        <w:t xml:space="preserve"> in the following situations:</w:t>
      </w:r>
    </w:p>
    <w:p w14:paraId="5016BB37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(a) Early Cancellation (Cooling-Off)</w:t>
      </w:r>
    </w:p>
    <w:p w14:paraId="131915A9" w14:textId="65145CC0" w:rsidR="00C82CBE" w:rsidRPr="00C82CBE" w:rsidRDefault="00C82CBE" w:rsidP="00C82CBE">
      <w:pPr>
        <w:numPr>
          <w:ilvl w:val="0"/>
          <w:numId w:val="3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You notify us in writing within </w:t>
      </w:r>
      <w:r w:rsidR="00800319">
        <w:rPr>
          <w:rFonts w:ascii="Verdana" w:hAnsi="Verdana" w:cs="Calibri"/>
          <w:b/>
          <w:bCs/>
          <w:sz w:val="20"/>
          <w:szCs w:val="20"/>
        </w:rPr>
        <w:t>5</w:t>
      </w:r>
      <w:r w:rsidRPr="00C82CBE">
        <w:rPr>
          <w:rFonts w:ascii="Verdana" w:hAnsi="Verdana" w:cs="Calibri"/>
          <w:b/>
          <w:bCs/>
          <w:sz w:val="20"/>
          <w:szCs w:val="20"/>
        </w:rPr>
        <w:t xml:space="preserve"> business days</w:t>
      </w:r>
      <w:r w:rsidRPr="00C82CBE">
        <w:rPr>
          <w:rFonts w:ascii="Verdana" w:hAnsi="Verdana" w:cs="Calibri"/>
          <w:sz w:val="20"/>
          <w:szCs w:val="20"/>
        </w:rPr>
        <w:t xml:space="preserve"> of payment; and </w:t>
      </w:r>
    </w:p>
    <w:p w14:paraId="44609E5B" w14:textId="77777777" w:rsidR="00C82CBE" w:rsidRPr="00C82CBE" w:rsidRDefault="00C82CBE" w:rsidP="00C82CBE">
      <w:pPr>
        <w:numPr>
          <w:ilvl w:val="0"/>
          <w:numId w:val="3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Minimal or no substantive work has been completed </w:t>
      </w:r>
    </w:p>
    <w:p w14:paraId="49A7D81C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(b) Unsuitability Identified Early</w:t>
      </w:r>
    </w:p>
    <w:p w14:paraId="471A75D9" w14:textId="77777777" w:rsidR="00C82CBE" w:rsidRPr="00C82CBE" w:rsidRDefault="00C82CBE" w:rsidP="00C82CBE">
      <w:pPr>
        <w:numPr>
          <w:ilvl w:val="0"/>
          <w:numId w:val="4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During initial assessment, we determine your business is </w:t>
      </w:r>
      <w:r w:rsidRPr="00C82CBE">
        <w:rPr>
          <w:rFonts w:ascii="Verdana" w:hAnsi="Verdana" w:cs="Calibri"/>
          <w:b/>
          <w:bCs/>
          <w:sz w:val="20"/>
          <w:szCs w:val="20"/>
        </w:rPr>
        <w:t>not currently well-positioned</w:t>
      </w:r>
      <w:r w:rsidRPr="00C82CBE">
        <w:rPr>
          <w:rFonts w:ascii="Verdana" w:hAnsi="Verdana" w:cs="Calibri"/>
          <w:sz w:val="20"/>
          <w:szCs w:val="20"/>
        </w:rPr>
        <w:t xml:space="preserve"> to pursue government tenders; and </w:t>
      </w:r>
    </w:p>
    <w:p w14:paraId="5D27F134" w14:textId="77777777" w:rsidR="00C82CBE" w:rsidRPr="00C82CBE" w:rsidRDefault="00C82CBE" w:rsidP="00C82CBE">
      <w:pPr>
        <w:numPr>
          <w:ilvl w:val="0"/>
          <w:numId w:val="4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lastRenderedPageBreak/>
        <w:t xml:space="preserve">This occurs before significant work is undertaken </w:t>
      </w:r>
    </w:p>
    <w:p w14:paraId="605D3CE4" w14:textId="74D6B8DA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In these cases, we </w:t>
      </w:r>
      <w:r w:rsidR="00800319">
        <w:rPr>
          <w:rFonts w:ascii="Verdana" w:hAnsi="Verdana" w:cs="Calibri"/>
          <w:sz w:val="20"/>
          <w:szCs w:val="20"/>
        </w:rPr>
        <w:t>will</w:t>
      </w:r>
      <w:r w:rsidRPr="00C82CBE">
        <w:rPr>
          <w:rFonts w:ascii="Verdana" w:hAnsi="Verdana" w:cs="Calibri"/>
          <w:sz w:val="20"/>
          <w:szCs w:val="20"/>
        </w:rPr>
        <w:t xml:space="preserve"> provide a </w:t>
      </w:r>
      <w:r w:rsidRPr="00C82CBE">
        <w:rPr>
          <w:rFonts w:ascii="Verdana" w:hAnsi="Verdana" w:cs="Calibri"/>
          <w:b/>
          <w:bCs/>
          <w:sz w:val="20"/>
          <w:szCs w:val="20"/>
        </w:rPr>
        <w:t>partial refund</w:t>
      </w:r>
      <w:r w:rsidR="008113E2" w:rsidRPr="008113E2">
        <w:rPr>
          <w:rFonts w:ascii="Verdana" w:hAnsi="Verdana" w:cs="Calibri"/>
          <w:sz w:val="20"/>
          <w:szCs w:val="20"/>
        </w:rPr>
        <w:t xml:space="preserve"> (i.e. </w:t>
      </w:r>
      <w:r w:rsidR="008113E2">
        <w:rPr>
          <w:rFonts w:ascii="Verdana" w:hAnsi="Verdana" w:cs="Calibri"/>
          <w:sz w:val="20"/>
          <w:szCs w:val="20"/>
        </w:rPr>
        <w:t>Total paid amount</w:t>
      </w:r>
      <w:r w:rsidRPr="008113E2">
        <w:rPr>
          <w:rFonts w:ascii="Verdana" w:hAnsi="Verdana" w:cs="Calibri"/>
          <w:sz w:val="20"/>
          <w:szCs w:val="20"/>
        </w:rPr>
        <w:t xml:space="preserve"> less reasonable </w:t>
      </w:r>
      <w:r w:rsidRPr="00C82CBE">
        <w:rPr>
          <w:rFonts w:ascii="Verdana" w:hAnsi="Verdana" w:cs="Calibri"/>
          <w:sz w:val="20"/>
          <w:szCs w:val="20"/>
        </w:rPr>
        <w:t>costs for time already spent</w:t>
      </w:r>
      <w:r w:rsidR="008C775B">
        <w:rPr>
          <w:rFonts w:ascii="Verdana" w:hAnsi="Verdana" w:cs="Calibri"/>
          <w:sz w:val="20"/>
          <w:szCs w:val="20"/>
        </w:rPr>
        <w:t>).</w:t>
      </w:r>
    </w:p>
    <w:p w14:paraId="73F5F155" w14:textId="77777777" w:rsidR="00C82CBE" w:rsidRPr="00C82CBE" w:rsidRDefault="0079109C" w:rsidP="00C82CBE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03B27BCE">
          <v:rect id="_x0000_i1029" style="width:0;height:1.5pt" o:hralign="center" o:hrstd="t" o:hr="t" fillcolor="#a0a0a0" stroked="f"/>
        </w:pict>
      </w:r>
    </w:p>
    <w:p w14:paraId="3D384968" w14:textId="77777777" w:rsidR="00C82CBE" w:rsidRPr="00C82CBE" w:rsidRDefault="00C82CBE" w:rsidP="00C82CBE">
      <w:pPr>
        <w:rPr>
          <w:rFonts w:ascii="Verdana" w:hAnsi="Verdana" w:cs="Calibri"/>
          <w:b/>
          <w:bCs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3.3 Situations Where Refunds Are Not Available</w:t>
      </w:r>
    </w:p>
    <w:p w14:paraId="3364FA9E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>Refunds will not be provided where:</w:t>
      </w:r>
    </w:p>
    <w:p w14:paraId="43EF3F16" w14:textId="77777777" w:rsidR="00C82CBE" w:rsidRPr="00C82CBE" w:rsidRDefault="00C82CBE" w:rsidP="00C82CBE">
      <w:pPr>
        <w:numPr>
          <w:ilvl w:val="0"/>
          <w:numId w:val="5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A tender submission is unsuccessful </w:t>
      </w:r>
    </w:p>
    <w:p w14:paraId="4C5417F7" w14:textId="77777777" w:rsidR="00C82CBE" w:rsidRPr="00C82CBE" w:rsidRDefault="00C82CBE" w:rsidP="00C82CBE">
      <w:pPr>
        <w:numPr>
          <w:ilvl w:val="0"/>
          <w:numId w:val="5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You decide not to proceed after work has commenced </w:t>
      </w:r>
    </w:p>
    <w:p w14:paraId="51284AED" w14:textId="77777777" w:rsidR="00C82CBE" w:rsidRPr="00C82CBE" w:rsidRDefault="00C82CBE" w:rsidP="00C82CBE">
      <w:pPr>
        <w:numPr>
          <w:ilvl w:val="0"/>
          <w:numId w:val="5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You withdraw from a tender opportunity </w:t>
      </w:r>
    </w:p>
    <w:p w14:paraId="11CF4B07" w14:textId="77777777" w:rsidR="00C82CBE" w:rsidRPr="00C82CBE" w:rsidRDefault="00C82CBE" w:rsidP="00C82CBE">
      <w:pPr>
        <w:numPr>
          <w:ilvl w:val="0"/>
          <w:numId w:val="5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Required information or cooperation is not provided in a timely manner </w:t>
      </w:r>
    </w:p>
    <w:p w14:paraId="587E18B8" w14:textId="77777777" w:rsidR="00C82CBE" w:rsidRPr="00C82CBE" w:rsidRDefault="00C82CBE" w:rsidP="00C82CBE">
      <w:pPr>
        <w:numPr>
          <w:ilvl w:val="0"/>
          <w:numId w:val="5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Outcomes are affected by factors outside our control (e.g. market competition, government decisions) </w:t>
      </w:r>
    </w:p>
    <w:p w14:paraId="78872820" w14:textId="77777777" w:rsidR="00C82CBE" w:rsidRPr="00C82CBE" w:rsidRDefault="0079109C" w:rsidP="00C82CBE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71443BEA">
          <v:rect id="_x0000_i1030" style="width:0;height:1.5pt" o:hralign="center" o:hrstd="t" o:hr="t" fillcolor="#a0a0a0" stroked="f"/>
        </w:pict>
      </w:r>
    </w:p>
    <w:p w14:paraId="741B594B" w14:textId="77777777" w:rsidR="00C82CBE" w:rsidRPr="00C82CBE" w:rsidRDefault="00C82CBE" w:rsidP="00C82CBE">
      <w:pPr>
        <w:rPr>
          <w:rFonts w:ascii="Verdana" w:hAnsi="Verdana" w:cs="Calibri"/>
          <w:b/>
          <w:bCs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4. Australian Consumer Law (ACL)</w:t>
      </w:r>
    </w:p>
    <w:p w14:paraId="583D943F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Nothing in this Refund Policy excludes, restricts, or modifies any rights you may have under the </w:t>
      </w:r>
      <w:r w:rsidRPr="00C82CBE">
        <w:rPr>
          <w:rFonts w:ascii="Verdana" w:hAnsi="Verdana" w:cs="Calibri"/>
          <w:b/>
          <w:bCs/>
          <w:sz w:val="20"/>
          <w:szCs w:val="20"/>
        </w:rPr>
        <w:t>Australian Consumer Law</w:t>
      </w:r>
      <w:r w:rsidRPr="00C82CBE">
        <w:rPr>
          <w:rFonts w:ascii="Verdana" w:hAnsi="Verdana" w:cs="Calibri"/>
          <w:sz w:val="20"/>
          <w:szCs w:val="20"/>
        </w:rPr>
        <w:t>.</w:t>
      </w:r>
    </w:p>
    <w:p w14:paraId="4D6D146B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>Under the ACL:</w:t>
      </w:r>
    </w:p>
    <w:p w14:paraId="6CB53D69" w14:textId="77777777" w:rsidR="00C82CBE" w:rsidRPr="00C82CBE" w:rsidRDefault="00C82CBE" w:rsidP="00C82CBE">
      <w:pPr>
        <w:numPr>
          <w:ilvl w:val="0"/>
          <w:numId w:val="6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You are entitled to a remedy (such as a refund or re-supply of services) if our services fail to meet </w:t>
      </w:r>
      <w:r w:rsidRPr="00C82CBE">
        <w:rPr>
          <w:rFonts w:ascii="Verdana" w:hAnsi="Verdana" w:cs="Calibri"/>
          <w:b/>
          <w:bCs/>
          <w:sz w:val="20"/>
          <w:szCs w:val="20"/>
        </w:rPr>
        <w:t>consumer guarantees</w:t>
      </w:r>
      <w:r w:rsidRPr="00C82CBE">
        <w:rPr>
          <w:rFonts w:ascii="Verdana" w:hAnsi="Verdana" w:cs="Calibri"/>
          <w:sz w:val="20"/>
          <w:szCs w:val="20"/>
        </w:rPr>
        <w:t xml:space="preserve">, including being delivered with due care and skill </w:t>
      </w:r>
    </w:p>
    <w:p w14:paraId="0001DE9C" w14:textId="77777777" w:rsidR="00C82CBE" w:rsidRPr="00C82CBE" w:rsidRDefault="00C82CBE" w:rsidP="00C82CBE">
      <w:pPr>
        <w:numPr>
          <w:ilvl w:val="0"/>
          <w:numId w:val="6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Remedies will be provided in accordance with the nature of the issue and applicable law </w:t>
      </w:r>
    </w:p>
    <w:p w14:paraId="62C5A4B7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>Where required under the ACL, we will provide:</w:t>
      </w:r>
    </w:p>
    <w:p w14:paraId="534CFA77" w14:textId="77777777" w:rsidR="00C82CBE" w:rsidRPr="00C82CBE" w:rsidRDefault="00C82CBE" w:rsidP="00C82CBE">
      <w:pPr>
        <w:numPr>
          <w:ilvl w:val="0"/>
          <w:numId w:val="7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A refund, or </w:t>
      </w:r>
    </w:p>
    <w:p w14:paraId="4B3183D7" w14:textId="77777777" w:rsidR="00C82CBE" w:rsidRPr="00C82CBE" w:rsidRDefault="00C82CBE" w:rsidP="00C82CBE">
      <w:pPr>
        <w:numPr>
          <w:ilvl w:val="0"/>
          <w:numId w:val="7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A re-supply or correction of services </w:t>
      </w:r>
    </w:p>
    <w:p w14:paraId="459BBC6D" w14:textId="77777777" w:rsidR="00C82CBE" w:rsidRPr="00C82CBE" w:rsidRDefault="0079109C" w:rsidP="00C82CBE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61BB750B">
          <v:rect id="_x0000_i1031" style="width:0;height:1.5pt" o:hralign="center" o:hrstd="t" o:hr="t" fillcolor="#a0a0a0" stroked="f"/>
        </w:pict>
      </w:r>
    </w:p>
    <w:p w14:paraId="02987BF7" w14:textId="77777777" w:rsidR="00C82CBE" w:rsidRPr="00C82CBE" w:rsidRDefault="00C82CBE" w:rsidP="00C82CBE">
      <w:pPr>
        <w:rPr>
          <w:rFonts w:ascii="Verdana" w:hAnsi="Verdana" w:cs="Calibri"/>
          <w:b/>
          <w:bCs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5. Our Approach to Fair Outcomes</w:t>
      </w:r>
    </w:p>
    <w:p w14:paraId="2ED86875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>We value long-term relationships and aim to act reasonably in all circumstances.</w:t>
      </w:r>
    </w:p>
    <w:p w14:paraId="3F2C0D0C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>If something doesn’t feel right, we encourage you to raise it with us early so we can work toward a fair and practical resolution.</w:t>
      </w:r>
    </w:p>
    <w:p w14:paraId="17FD6D36" w14:textId="77777777" w:rsidR="00C82CBE" w:rsidRPr="00C82CBE" w:rsidRDefault="0079109C" w:rsidP="00C82CBE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6F861CB5">
          <v:rect id="_x0000_i1032" style="width:0;height:1.5pt" o:hralign="center" o:hrstd="t" o:hr="t" fillcolor="#a0a0a0" stroked="f"/>
        </w:pict>
      </w:r>
    </w:p>
    <w:p w14:paraId="70538103" w14:textId="77777777" w:rsidR="00C82CBE" w:rsidRPr="00C82CBE" w:rsidRDefault="00C82CBE" w:rsidP="00C82CBE">
      <w:pPr>
        <w:rPr>
          <w:rFonts w:ascii="Verdana" w:hAnsi="Verdana" w:cs="Calibri"/>
          <w:b/>
          <w:bCs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6. How to Request a Refund</w:t>
      </w:r>
    </w:p>
    <w:p w14:paraId="4E894C78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>To request a refund, please contact us in writing:</w:t>
      </w:r>
    </w:p>
    <w:p w14:paraId="04478584" w14:textId="3FE980BC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t>Email:</w:t>
      </w:r>
      <w:r w:rsidRPr="00C82CBE">
        <w:rPr>
          <w:rFonts w:ascii="Verdana" w:hAnsi="Verdana" w:cs="Calibri"/>
          <w:sz w:val="20"/>
          <w:szCs w:val="20"/>
        </w:rPr>
        <w:t xml:space="preserve"> </w:t>
      </w:r>
      <w:r w:rsidR="006B362D">
        <w:rPr>
          <w:rFonts w:ascii="Verdana" w:hAnsi="Verdana" w:cs="Calibri"/>
          <w:sz w:val="20"/>
          <w:szCs w:val="20"/>
        </w:rPr>
        <w:t>admin</w:t>
      </w:r>
      <w:r w:rsidR="00DB68FD" w:rsidRPr="00DB68FD">
        <w:rPr>
          <w:rFonts w:ascii="Verdana" w:hAnsi="Verdana" w:cs="Calibri"/>
          <w:sz w:val="20"/>
          <w:szCs w:val="20"/>
        </w:rPr>
        <w:t>@wingovtenders.com.au</w:t>
      </w:r>
    </w:p>
    <w:p w14:paraId="46D9DE56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>Please include:</w:t>
      </w:r>
    </w:p>
    <w:p w14:paraId="2F336ABA" w14:textId="77777777" w:rsidR="00C82CBE" w:rsidRPr="00C82CBE" w:rsidRDefault="00C82CBE" w:rsidP="00C82CBE">
      <w:pPr>
        <w:numPr>
          <w:ilvl w:val="0"/>
          <w:numId w:val="8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Your business name </w:t>
      </w:r>
    </w:p>
    <w:p w14:paraId="6292211C" w14:textId="77777777" w:rsidR="00C82CBE" w:rsidRPr="00C82CBE" w:rsidRDefault="00C82CBE" w:rsidP="00C82CBE">
      <w:pPr>
        <w:numPr>
          <w:ilvl w:val="0"/>
          <w:numId w:val="8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Date of engagement </w:t>
      </w:r>
    </w:p>
    <w:p w14:paraId="1B0D0A36" w14:textId="77777777" w:rsidR="00C82CBE" w:rsidRPr="00C82CBE" w:rsidRDefault="00C82CBE" w:rsidP="00C82CBE">
      <w:pPr>
        <w:numPr>
          <w:ilvl w:val="0"/>
          <w:numId w:val="8"/>
        </w:num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Brief explanation of your request </w:t>
      </w:r>
    </w:p>
    <w:p w14:paraId="5E4D87B1" w14:textId="03533531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 xml:space="preserve">We aim to respond within </w:t>
      </w:r>
      <w:r w:rsidRPr="00C82CBE">
        <w:rPr>
          <w:rFonts w:ascii="Verdana" w:hAnsi="Verdana" w:cs="Calibri"/>
          <w:b/>
          <w:bCs/>
          <w:sz w:val="20"/>
          <w:szCs w:val="20"/>
        </w:rPr>
        <w:t>5 business days</w:t>
      </w:r>
      <w:r w:rsidRPr="00C82CBE">
        <w:rPr>
          <w:rFonts w:ascii="Verdana" w:hAnsi="Verdana" w:cs="Calibri"/>
          <w:sz w:val="20"/>
          <w:szCs w:val="20"/>
        </w:rPr>
        <w:t>.</w:t>
      </w:r>
    </w:p>
    <w:p w14:paraId="5F5B757A" w14:textId="77777777" w:rsidR="00C82CBE" w:rsidRPr="00C82CBE" w:rsidRDefault="0079109C" w:rsidP="00C82CBE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0708334F">
          <v:rect id="_x0000_i1033" style="width:0;height:1.5pt" o:hralign="center" o:hrstd="t" o:hr="t" fillcolor="#a0a0a0" stroked="f"/>
        </w:pict>
      </w:r>
    </w:p>
    <w:p w14:paraId="52B6C3E7" w14:textId="77777777" w:rsidR="00C82CBE" w:rsidRPr="00C82CBE" w:rsidRDefault="00C82CBE" w:rsidP="00C82CBE">
      <w:pPr>
        <w:rPr>
          <w:rFonts w:ascii="Verdana" w:hAnsi="Verdana" w:cs="Calibri"/>
          <w:b/>
          <w:bCs/>
          <w:sz w:val="20"/>
          <w:szCs w:val="20"/>
        </w:rPr>
      </w:pPr>
      <w:r w:rsidRPr="00C82CBE">
        <w:rPr>
          <w:rFonts w:ascii="Verdana" w:hAnsi="Verdana" w:cs="Calibri"/>
          <w:b/>
          <w:bCs/>
          <w:sz w:val="20"/>
          <w:szCs w:val="20"/>
        </w:rPr>
        <w:lastRenderedPageBreak/>
        <w:t>7. Updates to This Policy</w:t>
      </w:r>
    </w:p>
    <w:p w14:paraId="4886550D" w14:textId="77777777" w:rsidR="00C82CBE" w:rsidRPr="00C82CBE" w:rsidRDefault="00C82CBE" w:rsidP="00C82CBE">
      <w:pPr>
        <w:rPr>
          <w:rFonts w:ascii="Verdana" w:hAnsi="Verdana" w:cs="Calibri"/>
          <w:sz w:val="20"/>
          <w:szCs w:val="20"/>
        </w:rPr>
      </w:pPr>
      <w:r w:rsidRPr="00C82CBE">
        <w:rPr>
          <w:rFonts w:ascii="Verdana" w:hAnsi="Verdana" w:cs="Calibri"/>
          <w:sz w:val="20"/>
          <w:szCs w:val="20"/>
        </w:rPr>
        <w:t>We may update this Refund Policy from time to time to reflect changes in our services or legal obligations. The latest version will always be available on our website.</w:t>
      </w:r>
    </w:p>
    <w:p w14:paraId="352D6105" w14:textId="77777777" w:rsidR="00B46561" w:rsidRPr="007574E0" w:rsidRDefault="00B46561">
      <w:pPr>
        <w:rPr>
          <w:rFonts w:ascii="Verdana" w:hAnsi="Verdana" w:cs="Calibri"/>
          <w:sz w:val="20"/>
          <w:szCs w:val="20"/>
        </w:rPr>
      </w:pPr>
    </w:p>
    <w:sectPr w:rsidR="00B46561" w:rsidRPr="007574E0" w:rsidSect="00C82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06C9"/>
    <w:multiLevelType w:val="multilevel"/>
    <w:tmpl w:val="EFA4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936B1"/>
    <w:multiLevelType w:val="multilevel"/>
    <w:tmpl w:val="E4CA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4076E"/>
    <w:multiLevelType w:val="multilevel"/>
    <w:tmpl w:val="7214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A7F1C"/>
    <w:multiLevelType w:val="multilevel"/>
    <w:tmpl w:val="660A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C6B58"/>
    <w:multiLevelType w:val="multilevel"/>
    <w:tmpl w:val="D38C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C74A3"/>
    <w:multiLevelType w:val="multilevel"/>
    <w:tmpl w:val="CD70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04AB9"/>
    <w:multiLevelType w:val="multilevel"/>
    <w:tmpl w:val="9A26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D12E9"/>
    <w:multiLevelType w:val="multilevel"/>
    <w:tmpl w:val="50FC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728005">
    <w:abstractNumId w:val="6"/>
  </w:num>
  <w:num w:numId="2" w16cid:durableId="63336410">
    <w:abstractNumId w:val="3"/>
  </w:num>
  <w:num w:numId="3" w16cid:durableId="2097096490">
    <w:abstractNumId w:val="5"/>
  </w:num>
  <w:num w:numId="4" w16cid:durableId="552547836">
    <w:abstractNumId w:val="1"/>
  </w:num>
  <w:num w:numId="5" w16cid:durableId="1027102842">
    <w:abstractNumId w:val="4"/>
  </w:num>
  <w:num w:numId="6" w16cid:durableId="441074812">
    <w:abstractNumId w:val="0"/>
  </w:num>
  <w:num w:numId="7" w16cid:durableId="373651825">
    <w:abstractNumId w:val="7"/>
  </w:num>
  <w:num w:numId="8" w16cid:durableId="1100223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BE"/>
    <w:rsid w:val="00080924"/>
    <w:rsid w:val="000B64C9"/>
    <w:rsid w:val="003033A5"/>
    <w:rsid w:val="003E6918"/>
    <w:rsid w:val="00622297"/>
    <w:rsid w:val="006B362D"/>
    <w:rsid w:val="007574E0"/>
    <w:rsid w:val="00800319"/>
    <w:rsid w:val="008113E2"/>
    <w:rsid w:val="008C775B"/>
    <w:rsid w:val="00B46561"/>
    <w:rsid w:val="00BF52D1"/>
    <w:rsid w:val="00C82CBE"/>
    <w:rsid w:val="00DB68FD"/>
    <w:rsid w:val="00DD6512"/>
    <w:rsid w:val="00E54C13"/>
    <w:rsid w:val="00E9225E"/>
    <w:rsid w:val="00E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108E"/>
  <w15:chartTrackingRefBased/>
  <w15:docId w15:val="{7F1304E2-6861-4332-9202-514C3C4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C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4C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Woodland</dc:creator>
  <cp:keywords/>
  <dc:description/>
  <cp:lastModifiedBy>Matthew Woodland</cp:lastModifiedBy>
  <cp:revision>12</cp:revision>
  <dcterms:created xsi:type="dcterms:W3CDTF">2026-04-16T11:36:00Z</dcterms:created>
  <dcterms:modified xsi:type="dcterms:W3CDTF">2026-06-07T00:32:00Z</dcterms:modified>
</cp:coreProperties>
</file>